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CC" w:rsidRDefault="003346CC" w:rsidP="003346CC">
      <w:pPr>
        <w:jc w:val="center"/>
        <w:rPr>
          <w:rFonts w:ascii="Garamond" w:hAnsi="Garamond"/>
          <w:b/>
          <w:i/>
          <w:noProof/>
          <w:color w:val="0000FF"/>
        </w:rPr>
      </w:pPr>
      <w:r>
        <w:rPr>
          <w:rFonts w:ascii="Garamond" w:hAnsi="Garamond"/>
          <w:b/>
          <w:i/>
          <w:noProof/>
          <w:color w:val="0000FF"/>
        </w:rPr>
        <w:drawing>
          <wp:inline distT="0" distB="0" distL="0" distR="0" wp14:anchorId="2096CA36" wp14:editId="53D83BEE">
            <wp:extent cx="972820" cy="941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CC" w:rsidRDefault="003346CC" w:rsidP="003346CC">
      <w:pPr>
        <w:jc w:val="center"/>
        <w:rPr>
          <w:rFonts w:ascii="Garamond" w:hAnsi="Garamond"/>
          <w:b/>
          <w:i/>
          <w:noProof/>
          <w:color w:val="0000FF"/>
        </w:rPr>
      </w:pPr>
    </w:p>
    <w:p w:rsidR="003346CC" w:rsidRDefault="003346CC" w:rsidP="003346CC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TOWN OF HAMILTON</w:t>
      </w:r>
    </w:p>
    <w:p w:rsidR="003346CC" w:rsidRDefault="003346CC" w:rsidP="003346CC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OFFICE OF THE BOARD OF ASSESSORS</w:t>
      </w:r>
    </w:p>
    <w:p w:rsidR="003346CC" w:rsidRDefault="003346CC" w:rsidP="003346CC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 xml:space="preserve">P.O.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b/>
                  <w:i/>
                  <w:color w:val="0000FF"/>
                </w:rPr>
                <w:t>BOX</w:t>
              </w:r>
            </w:smartTag>
          </w:smartTag>
          <w:r>
            <w:rPr>
              <w:b/>
              <w:i/>
              <w:color w:val="0000FF"/>
            </w:rPr>
            <w:t xml:space="preserve"> 429</w:t>
          </w:r>
        </w:smartTag>
      </w:smartTag>
    </w:p>
    <w:p w:rsidR="003346CC" w:rsidRDefault="003346CC" w:rsidP="003346CC">
      <w:pPr>
        <w:jc w:val="center"/>
        <w:rPr>
          <w:b/>
          <w:i/>
          <w:color w:val="0000FF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i/>
              <w:color w:val="0000FF"/>
            </w:rPr>
            <w:t>HAMILTON</w:t>
          </w:r>
        </w:smartTag>
        <w:r>
          <w:rPr>
            <w:b/>
            <w:i/>
            <w:color w:val="0000FF"/>
          </w:rPr>
          <w:t xml:space="preserve">, </w:t>
        </w:r>
        <w:smartTag w:uri="urn:schemas-microsoft-com:office:smarttags" w:element="State">
          <w:r>
            <w:rPr>
              <w:b/>
              <w:i/>
              <w:color w:val="0000FF"/>
            </w:rPr>
            <w:t>MA</w:t>
          </w:r>
        </w:smartTag>
        <w:r>
          <w:rPr>
            <w:b/>
            <w:i/>
            <w:color w:val="0000FF"/>
          </w:rPr>
          <w:t xml:space="preserve"> </w:t>
        </w:r>
        <w:smartTag w:uri="urn:schemas-microsoft-com:office:smarttags" w:element="PostalCode">
          <w:r>
            <w:rPr>
              <w:b/>
              <w:i/>
              <w:color w:val="0000FF"/>
            </w:rPr>
            <w:t>01936</w:t>
          </w:r>
        </w:smartTag>
      </w:smartTag>
    </w:p>
    <w:p w:rsidR="003346CC" w:rsidRDefault="003346CC" w:rsidP="003346CC">
      <w:pPr>
        <w:pStyle w:val="Heading1"/>
        <w:rPr>
          <w:szCs w:val="24"/>
        </w:rPr>
      </w:pPr>
      <w:r>
        <w:rPr>
          <w:szCs w:val="24"/>
        </w:rPr>
        <w:t>Tel:  978-468-5574      Fax: 978-468-2682</w:t>
      </w:r>
    </w:p>
    <w:p w:rsidR="00F83EE7" w:rsidRDefault="00F83EE7" w:rsidP="00000067">
      <w:pPr>
        <w:ind w:left="-576" w:right="-1008"/>
      </w:pPr>
    </w:p>
    <w:p w:rsidR="00CF3405" w:rsidRDefault="00CF3405" w:rsidP="00F46173">
      <w:pPr>
        <w:ind w:left="1440" w:right="-1800" w:firstLine="720"/>
        <w:rPr>
          <w:sz w:val="28"/>
          <w:szCs w:val="28"/>
        </w:rPr>
      </w:pPr>
      <w:r w:rsidRPr="000157A4">
        <w:rPr>
          <w:sz w:val="28"/>
          <w:szCs w:val="28"/>
        </w:rPr>
        <w:t>Chapter 91 Special Act Senior Exemption</w:t>
      </w:r>
    </w:p>
    <w:p w:rsidR="00CF3405" w:rsidRDefault="00CF3405" w:rsidP="00CF3405">
      <w:pPr>
        <w:ind w:right="-1800" w:firstLine="720"/>
        <w:rPr>
          <w:sz w:val="28"/>
          <w:szCs w:val="28"/>
        </w:rPr>
      </w:pPr>
    </w:p>
    <w:p w:rsidR="00F16652" w:rsidRDefault="00F16652" w:rsidP="00F16652">
      <w:pPr>
        <w:ind w:left="-576" w:right="-1008"/>
        <w:rPr>
          <w:sz w:val="28"/>
          <w:szCs w:val="28"/>
        </w:rPr>
      </w:pPr>
      <w:r>
        <w:rPr>
          <w:sz w:val="28"/>
          <w:szCs w:val="28"/>
        </w:rPr>
        <w:t xml:space="preserve">This tax exemption is for qualifying residential real estate.   </w:t>
      </w:r>
    </w:p>
    <w:p w:rsidR="00F16652" w:rsidRDefault="00F16652" w:rsidP="00F16652">
      <w:pPr>
        <w:ind w:left="-576" w:right="-1008"/>
        <w:rPr>
          <w:sz w:val="28"/>
          <w:szCs w:val="28"/>
        </w:rPr>
      </w:pPr>
    </w:p>
    <w:p w:rsidR="00F16652" w:rsidRDefault="00F16652" w:rsidP="00F16652">
      <w:pPr>
        <w:ind w:left="-576" w:right="-1008"/>
        <w:rPr>
          <w:sz w:val="28"/>
          <w:szCs w:val="28"/>
        </w:rPr>
      </w:pPr>
      <w:r>
        <w:rPr>
          <w:sz w:val="28"/>
          <w:szCs w:val="28"/>
        </w:rPr>
        <w:t>To qualify for a property tax reduction:</w:t>
      </w:r>
    </w:p>
    <w:p w:rsidR="0041511D" w:rsidRDefault="0041511D" w:rsidP="00F16652">
      <w:pPr>
        <w:ind w:left="-576" w:right="-1008"/>
        <w:rPr>
          <w:sz w:val="28"/>
          <w:szCs w:val="28"/>
        </w:rPr>
      </w:pPr>
    </w:p>
    <w:p w:rsidR="0041511D" w:rsidRDefault="0041511D" w:rsidP="0041511D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home must be owned and occupied by the applicant</w:t>
      </w:r>
    </w:p>
    <w:p w:rsidR="0041511D" w:rsidRDefault="0041511D" w:rsidP="0041511D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applicant must have lived in the town for at least 10 consecutive years</w:t>
      </w:r>
    </w:p>
    <w:p w:rsidR="0041511D" w:rsidRDefault="0041511D" w:rsidP="0041511D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applicant must occupy the home for more than 6 months each year</w:t>
      </w:r>
    </w:p>
    <w:p w:rsidR="0041511D" w:rsidRDefault="0041511D" w:rsidP="0041511D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age of one of the homeowners must be 65 or greater</w:t>
      </w:r>
    </w:p>
    <w:p w:rsidR="0041511D" w:rsidRDefault="0041511D" w:rsidP="0041511D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total household income cannot be more than $47,520 if single or $71,280 if married</w:t>
      </w:r>
    </w:p>
    <w:p w:rsidR="00B36C69" w:rsidRDefault="00B36C69" w:rsidP="00B36C69">
      <w:pPr>
        <w:pStyle w:val="ListParagraph"/>
        <w:numPr>
          <w:ilvl w:val="0"/>
          <w:numId w:val="1"/>
        </w:numPr>
        <w:ind w:right="-1008"/>
        <w:rPr>
          <w:sz w:val="28"/>
          <w:szCs w:val="28"/>
        </w:rPr>
      </w:pPr>
      <w:r>
        <w:rPr>
          <w:sz w:val="28"/>
          <w:szCs w:val="28"/>
        </w:rPr>
        <w:t>The property’s assessed value must be less than or equal to the town’s median assessed property value plus 10%</w:t>
      </w:r>
    </w:p>
    <w:p w:rsidR="00B36C69" w:rsidRPr="00B36C69" w:rsidRDefault="00B36C69" w:rsidP="00B36C69">
      <w:pPr>
        <w:ind w:left="-216" w:right="-1008"/>
        <w:rPr>
          <w:sz w:val="28"/>
          <w:szCs w:val="28"/>
        </w:rPr>
      </w:pPr>
    </w:p>
    <w:p w:rsidR="00DC6B2D" w:rsidRDefault="00DC6B2D" w:rsidP="00CF3405">
      <w:pPr>
        <w:ind w:left="-576" w:right="-1008"/>
        <w:rPr>
          <w:sz w:val="28"/>
          <w:szCs w:val="28"/>
        </w:rPr>
      </w:pPr>
      <w:r>
        <w:rPr>
          <w:sz w:val="28"/>
          <w:szCs w:val="28"/>
        </w:rPr>
        <w:t xml:space="preserve">If these requirements are met, the real estate tax will be </w:t>
      </w:r>
      <w:r w:rsidRPr="00DC6B2D">
        <w:rPr>
          <w:b/>
          <w:i/>
          <w:sz w:val="28"/>
          <w:szCs w:val="28"/>
        </w:rPr>
        <w:t>reduced to</w:t>
      </w:r>
      <w:r>
        <w:rPr>
          <w:sz w:val="28"/>
          <w:szCs w:val="28"/>
        </w:rPr>
        <w:t xml:space="preserve"> </w:t>
      </w:r>
      <w:r w:rsidRPr="00DC6B2D">
        <w:rPr>
          <w:b/>
          <w:sz w:val="28"/>
          <w:szCs w:val="28"/>
        </w:rPr>
        <w:t xml:space="preserve">no more than 10% of the household income, </w:t>
      </w:r>
      <w:r w:rsidRPr="00DC6B2D">
        <w:rPr>
          <w:b/>
          <w:i/>
          <w:sz w:val="28"/>
          <w:szCs w:val="28"/>
        </w:rPr>
        <w:t>but</w:t>
      </w:r>
      <w:r w:rsidRPr="00DC6B2D">
        <w:rPr>
          <w:b/>
          <w:sz w:val="28"/>
          <w:szCs w:val="28"/>
        </w:rPr>
        <w:t xml:space="preserve"> not by more than 50% of the owed tax bill</w:t>
      </w:r>
      <w:r>
        <w:rPr>
          <w:sz w:val="28"/>
          <w:szCs w:val="28"/>
        </w:rPr>
        <w:t>.</w:t>
      </w:r>
    </w:p>
    <w:p w:rsidR="00DC6B2D" w:rsidRDefault="00DC6B2D" w:rsidP="00CF3405">
      <w:pPr>
        <w:ind w:left="-576" w:right="-1008"/>
        <w:rPr>
          <w:sz w:val="28"/>
          <w:szCs w:val="28"/>
        </w:rPr>
      </w:pPr>
    </w:p>
    <w:p w:rsidR="00CF3405" w:rsidRPr="00CF3405" w:rsidRDefault="00CF3405" w:rsidP="00CF3405">
      <w:pPr>
        <w:ind w:left="-576" w:right="-1008"/>
        <w:rPr>
          <w:sz w:val="28"/>
          <w:szCs w:val="28"/>
        </w:rPr>
      </w:pPr>
      <w:r w:rsidRPr="000157A4">
        <w:rPr>
          <w:sz w:val="28"/>
          <w:szCs w:val="28"/>
        </w:rPr>
        <w:t>Please be advised that the Fiscal Year 20</w:t>
      </w:r>
      <w:r w:rsidR="000365AB">
        <w:rPr>
          <w:sz w:val="28"/>
          <w:szCs w:val="28"/>
        </w:rPr>
        <w:t>2</w:t>
      </w:r>
      <w:r w:rsidR="00FE027E">
        <w:rPr>
          <w:sz w:val="28"/>
          <w:szCs w:val="28"/>
        </w:rPr>
        <w:t>3</w:t>
      </w:r>
      <w:r w:rsidRPr="000157A4">
        <w:rPr>
          <w:sz w:val="28"/>
          <w:szCs w:val="28"/>
        </w:rPr>
        <w:t xml:space="preserve"> deadline to apply for the</w:t>
      </w:r>
      <w:r>
        <w:rPr>
          <w:sz w:val="28"/>
          <w:szCs w:val="28"/>
        </w:rPr>
        <w:t xml:space="preserve"> </w:t>
      </w:r>
      <w:r w:rsidRPr="000157A4">
        <w:rPr>
          <w:sz w:val="28"/>
          <w:szCs w:val="28"/>
        </w:rPr>
        <w:t xml:space="preserve">Chapter 91 Special Act Senior Exemption is </w:t>
      </w:r>
      <w:r w:rsidR="00FE027E">
        <w:rPr>
          <w:sz w:val="28"/>
          <w:szCs w:val="28"/>
        </w:rPr>
        <w:t>Mo</w:t>
      </w:r>
      <w:r w:rsidR="00BF0E60">
        <w:rPr>
          <w:sz w:val="28"/>
          <w:szCs w:val="28"/>
        </w:rPr>
        <w:t>nd</w:t>
      </w:r>
      <w:r w:rsidRPr="000157A4">
        <w:rPr>
          <w:sz w:val="28"/>
          <w:szCs w:val="28"/>
        </w:rPr>
        <w:t>ay, January 31, 20</w:t>
      </w:r>
      <w:r w:rsidR="00513EC0">
        <w:rPr>
          <w:sz w:val="28"/>
          <w:szCs w:val="28"/>
        </w:rPr>
        <w:t>2</w:t>
      </w:r>
      <w:r w:rsidR="00FE027E">
        <w:rPr>
          <w:sz w:val="28"/>
          <w:szCs w:val="28"/>
        </w:rPr>
        <w:t>2</w:t>
      </w:r>
      <w:r w:rsidRPr="000157A4">
        <w:rPr>
          <w:sz w:val="28"/>
          <w:szCs w:val="28"/>
        </w:rPr>
        <w:t>.</w:t>
      </w:r>
      <w:r w:rsidR="00F16652">
        <w:rPr>
          <w:sz w:val="28"/>
          <w:szCs w:val="28"/>
        </w:rPr>
        <w:t xml:space="preserve">  </w:t>
      </w:r>
      <w:r w:rsidRPr="000157A4">
        <w:rPr>
          <w:sz w:val="28"/>
          <w:szCs w:val="28"/>
        </w:rPr>
        <w:t xml:space="preserve">The applications are due in the Assessor’s office by 4:30 pm. </w:t>
      </w:r>
      <w:r w:rsidRPr="00CF3405">
        <w:rPr>
          <w:sz w:val="28"/>
          <w:szCs w:val="28"/>
        </w:rPr>
        <w:t>Please submit your 20</w:t>
      </w:r>
      <w:r w:rsidR="00FE027E">
        <w:rPr>
          <w:sz w:val="28"/>
          <w:szCs w:val="28"/>
        </w:rPr>
        <w:t>20</w:t>
      </w:r>
      <w:bookmarkStart w:id="0" w:name="_GoBack"/>
      <w:bookmarkEnd w:id="0"/>
      <w:r w:rsidRPr="00CF3405">
        <w:rPr>
          <w:sz w:val="28"/>
          <w:szCs w:val="28"/>
        </w:rPr>
        <w:t xml:space="preserve"> tax returns with your application.</w:t>
      </w:r>
    </w:p>
    <w:p w:rsidR="00CF3405" w:rsidRDefault="00CF3405" w:rsidP="00000067">
      <w:pPr>
        <w:ind w:left="-576" w:right="-1008"/>
        <w:rPr>
          <w:sz w:val="28"/>
          <w:szCs w:val="28"/>
        </w:rPr>
      </w:pPr>
    </w:p>
    <w:p w:rsidR="003346CC" w:rsidRDefault="003346CC" w:rsidP="00000067">
      <w:pPr>
        <w:ind w:left="-576" w:right="-1008"/>
        <w:rPr>
          <w:sz w:val="28"/>
          <w:szCs w:val="28"/>
        </w:rPr>
      </w:pPr>
      <w:r>
        <w:rPr>
          <w:sz w:val="28"/>
          <w:szCs w:val="28"/>
        </w:rPr>
        <w:t>For more information on eligibility requirements, please visit the Assessors Department page on the Town of Hamilton’s website</w:t>
      </w:r>
      <w:r w:rsidR="0056370F">
        <w:rPr>
          <w:sz w:val="28"/>
          <w:szCs w:val="28"/>
        </w:rPr>
        <w:t>, and go to Senior Exemptions, Chapter 91.</w:t>
      </w:r>
    </w:p>
    <w:p w:rsidR="0056370F" w:rsidRPr="000157A4" w:rsidRDefault="0056370F" w:rsidP="00000067">
      <w:pPr>
        <w:ind w:left="-576" w:right="-1008"/>
        <w:rPr>
          <w:sz w:val="28"/>
          <w:szCs w:val="28"/>
        </w:rPr>
      </w:pPr>
    </w:p>
    <w:p w:rsidR="003346CC" w:rsidRPr="000157A4" w:rsidRDefault="003346CC" w:rsidP="00000067">
      <w:pPr>
        <w:ind w:left="-576" w:right="-1008"/>
        <w:rPr>
          <w:sz w:val="28"/>
          <w:szCs w:val="28"/>
        </w:rPr>
      </w:pPr>
      <w:r w:rsidRPr="000157A4">
        <w:rPr>
          <w:sz w:val="28"/>
          <w:szCs w:val="28"/>
        </w:rPr>
        <w:t xml:space="preserve">Please call the Assessor’s office at 978-468-5574 with any questions. Thank you. </w:t>
      </w:r>
    </w:p>
    <w:p w:rsidR="003346CC" w:rsidRPr="000157A4" w:rsidRDefault="003346CC" w:rsidP="00000067">
      <w:pPr>
        <w:ind w:left="-576" w:right="-1008"/>
        <w:rPr>
          <w:sz w:val="28"/>
          <w:szCs w:val="28"/>
        </w:rPr>
      </w:pPr>
    </w:p>
    <w:p w:rsidR="003346CC" w:rsidRDefault="003346CC" w:rsidP="00000067">
      <w:pPr>
        <w:ind w:left="-576" w:right="-1008"/>
        <w:rPr>
          <w:b/>
          <w:sz w:val="28"/>
          <w:szCs w:val="28"/>
        </w:rPr>
      </w:pPr>
      <w:r>
        <w:rPr>
          <w:b/>
          <w:sz w:val="28"/>
          <w:szCs w:val="28"/>
        </w:rPr>
        <w:t>Board of Assessors</w:t>
      </w:r>
    </w:p>
    <w:p w:rsidR="00771016" w:rsidRDefault="003346CC" w:rsidP="00D914C0">
      <w:pPr>
        <w:ind w:left="-576" w:right="-1008"/>
      </w:pPr>
      <w:r w:rsidRPr="00F57D17">
        <w:rPr>
          <w:sz w:val="28"/>
          <w:szCs w:val="28"/>
        </w:rPr>
        <w:t>Town of Hamilton</w:t>
      </w:r>
    </w:p>
    <w:sectPr w:rsidR="00771016" w:rsidSect="00F46173">
      <w:pgSz w:w="12240" w:h="15840" w:code="1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4F54"/>
    <w:multiLevelType w:val="hybridMultilevel"/>
    <w:tmpl w:val="F69ED4B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C"/>
    <w:rsid w:val="00000067"/>
    <w:rsid w:val="00003376"/>
    <w:rsid w:val="0000454B"/>
    <w:rsid w:val="00007A30"/>
    <w:rsid w:val="0002471B"/>
    <w:rsid w:val="00024CF1"/>
    <w:rsid w:val="000353CF"/>
    <w:rsid w:val="000365AB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2B0A"/>
    <w:rsid w:val="00175709"/>
    <w:rsid w:val="00190980"/>
    <w:rsid w:val="0019429D"/>
    <w:rsid w:val="00197387"/>
    <w:rsid w:val="001A7F3E"/>
    <w:rsid w:val="001C5C35"/>
    <w:rsid w:val="001F65D1"/>
    <w:rsid w:val="00201673"/>
    <w:rsid w:val="0020640B"/>
    <w:rsid w:val="0022226D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346CC"/>
    <w:rsid w:val="00341B9E"/>
    <w:rsid w:val="00363A29"/>
    <w:rsid w:val="00363A70"/>
    <w:rsid w:val="0036671F"/>
    <w:rsid w:val="003824CE"/>
    <w:rsid w:val="003848DB"/>
    <w:rsid w:val="00390E23"/>
    <w:rsid w:val="003B0F86"/>
    <w:rsid w:val="00413498"/>
    <w:rsid w:val="0041511D"/>
    <w:rsid w:val="00417931"/>
    <w:rsid w:val="004344EB"/>
    <w:rsid w:val="00447630"/>
    <w:rsid w:val="004536E7"/>
    <w:rsid w:val="004567BD"/>
    <w:rsid w:val="00473982"/>
    <w:rsid w:val="00491302"/>
    <w:rsid w:val="004D031E"/>
    <w:rsid w:val="005072B3"/>
    <w:rsid w:val="00513EC0"/>
    <w:rsid w:val="00535964"/>
    <w:rsid w:val="00540731"/>
    <w:rsid w:val="0056370F"/>
    <w:rsid w:val="00570E67"/>
    <w:rsid w:val="00582B6D"/>
    <w:rsid w:val="00585595"/>
    <w:rsid w:val="005869B1"/>
    <w:rsid w:val="00595539"/>
    <w:rsid w:val="005A5123"/>
    <w:rsid w:val="005B5841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924F7E"/>
    <w:rsid w:val="00935C94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74CC0"/>
    <w:rsid w:val="00A95FEF"/>
    <w:rsid w:val="00AB19CA"/>
    <w:rsid w:val="00AB3648"/>
    <w:rsid w:val="00AD4E9B"/>
    <w:rsid w:val="00AE2388"/>
    <w:rsid w:val="00AE76E0"/>
    <w:rsid w:val="00B23392"/>
    <w:rsid w:val="00B36C69"/>
    <w:rsid w:val="00B57D2F"/>
    <w:rsid w:val="00B710EA"/>
    <w:rsid w:val="00B85985"/>
    <w:rsid w:val="00B96587"/>
    <w:rsid w:val="00BA26A3"/>
    <w:rsid w:val="00BA37A4"/>
    <w:rsid w:val="00BC0940"/>
    <w:rsid w:val="00BE7C93"/>
    <w:rsid w:val="00BF0E60"/>
    <w:rsid w:val="00BF766B"/>
    <w:rsid w:val="00C0070E"/>
    <w:rsid w:val="00C11BC6"/>
    <w:rsid w:val="00C24E56"/>
    <w:rsid w:val="00C4373C"/>
    <w:rsid w:val="00C517C2"/>
    <w:rsid w:val="00C708C8"/>
    <w:rsid w:val="00C95986"/>
    <w:rsid w:val="00CB1A7E"/>
    <w:rsid w:val="00CE0F6D"/>
    <w:rsid w:val="00CF3405"/>
    <w:rsid w:val="00D10CB7"/>
    <w:rsid w:val="00D4169D"/>
    <w:rsid w:val="00D5463E"/>
    <w:rsid w:val="00D901A5"/>
    <w:rsid w:val="00D914C0"/>
    <w:rsid w:val="00DC095F"/>
    <w:rsid w:val="00DC6B2D"/>
    <w:rsid w:val="00DE2F7F"/>
    <w:rsid w:val="00E11612"/>
    <w:rsid w:val="00E32237"/>
    <w:rsid w:val="00E51C8E"/>
    <w:rsid w:val="00E72208"/>
    <w:rsid w:val="00E745F6"/>
    <w:rsid w:val="00E94AAE"/>
    <w:rsid w:val="00EB60B6"/>
    <w:rsid w:val="00ED4F51"/>
    <w:rsid w:val="00ED622C"/>
    <w:rsid w:val="00F00E7F"/>
    <w:rsid w:val="00F02D92"/>
    <w:rsid w:val="00F15FD1"/>
    <w:rsid w:val="00F16652"/>
    <w:rsid w:val="00F356A0"/>
    <w:rsid w:val="00F43B37"/>
    <w:rsid w:val="00F46173"/>
    <w:rsid w:val="00F57D3E"/>
    <w:rsid w:val="00F64711"/>
    <w:rsid w:val="00F83EE7"/>
    <w:rsid w:val="00F85194"/>
    <w:rsid w:val="00F93A04"/>
    <w:rsid w:val="00FA7F0D"/>
    <w:rsid w:val="00FC115F"/>
    <w:rsid w:val="00FD5B2C"/>
    <w:rsid w:val="00FE027E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6CC"/>
    <w:pPr>
      <w:keepNext/>
      <w:jc w:val="center"/>
      <w:outlineLvl w:val="0"/>
    </w:pPr>
    <w:rPr>
      <w:b/>
      <w:i/>
      <w:color w:val="0000FF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46CC"/>
    <w:rPr>
      <w:rFonts w:ascii="Times New Roman" w:eastAsia="Times New Roman" w:hAnsi="Times New Roman" w:cs="Times New Roman"/>
      <w:b/>
      <w:i/>
      <w:color w:val="0000F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CC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"/>
    <w:uiPriority w:val="99"/>
    <w:rsid w:val="00F83EE7"/>
    <w:pPr>
      <w:widowControl w:val="0"/>
      <w:autoSpaceDE w:val="0"/>
      <w:autoSpaceDN w:val="0"/>
      <w:spacing w:before="216"/>
      <w:ind w:left="72" w:right="432"/>
    </w:pPr>
    <w:rPr>
      <w:rFonts w:eastAsiaTheme="minorEastAsia"/>
      <w:sz w:val="28"/>
      <w:szCs w:val="28"/>
    </w:rPr>
  </w:style>
  <w:style w:type="character" w:customStyle="1" w:styleId="CharacterStyle1">
    <w:name w:val="Character Style 1"/>
    <w:uiPriority w:val="99"/>
    <w:rsid w:val="00F83EE7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15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8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6CC"/>
    <w:pPr>
      <w:keepNext/>
      <w:jc w:val="center"/>
      <w:outlineLvl w:val="0"/>
    </w:pPr>
    <w:rPr>
      <w:b/>
      <w:i/>
      <w:color w:val="0000FF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46CC"/>
    <w:rPr>
      <w:rFonts w:ascii="Times New Roman" w:eastAsia="Times New Roman" w:hAnsi="Times New Roman" w:cs="Times New Roman"/>
      <w:b/>
      <w:i/>
      <w:color w:val="0000F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CC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"/>
    <w:uiPriority w:val="99"/>
    <w:rsid w:val="00F83EE7"/>
    <w:pPr>
      <w:widowControl w:val="0"/>
      <w:autoSpaceDE w:val="0"/>
      <w:autoSpaceDN w:val="0"/>
      <w:spacing w:before="216"/>
      <w:ind w:left="72" w:right="432"/>
    </w:pPr>
    <w:rPr>
      <w:rFonts w:eastAsiaTheme="minorEastAsia"/>
      <w:sz w:val="28"/>
      <w:szCs w:val="28"/>
    </w:rPr>
  </w:style>
  <w:style w:type="character" w:customStyle="1" w:styleId="CharacterStyle1">
    <w:name w:val="Character Style 1"/>
    <w:uiPriority w:val="99"/>
    <w:rsid w:val="00F83EE7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15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3</cp:revision>
  <cp:lastPrinted>2019-11-26T20:27:00Z</cp:lastPrinted>
  <dcterms:created xsi:type="dcterms:W3CDTF">2021-11-22T16:11:00Z</dcterms:created>
  <dcterms:modified xsi:type="dcterms:W3CDTF">2021-11-22T16:12:00Z</dcterms:modified>
</cp:coreProperties>
</file>